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1A4E" w14:textId="77777777" w:rsidR="00056CFA" w:rsidRPr="00062DC5" w:rsidRDefault="00056CFA" w:rsidP="00056C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 w:eastAsia="en-GB"/>
        </w:rPr>
      </w:pPr>
      <w:r w:rsidRPr="00062DC5">
        <w:rPr>
          <w:rFonts w:eastAsia="Times New Roman" w:cstheme="minorHAnsi"/>
          <w:b/>
          <w:bCs/>
          <w:lang w:val="en" w:eastAsia="en-GB"/>
        </w:rPr>
        <w:t xml:space="preserve">Devolved </w:t>
      </w:r>
      <w:r w:rsidR="00A42899" w:rsidRPr="00062DC5">
        <w:rPr>
          <w:rFonts w:eastAsia="Times New Roman" w:cstheme="minorHAnsi"/>
          <w:b/>
          <w:bCs/>
          <w:lang w:val="en" w:eastAsia="en-GB"/>
        </w:rPr>
        <w:t xml:space="preserve">Funding </w:t>
      </w:r>
      <w:r w:rsidRPr="00062DC5">
        <w:rPr>
          <w:rFonts w:eastAsia="Times New Roman" w:cstheme="minorHAnsi"/>
          <w:b/>
          <w:bCs/>
          <w:lang w:val="en" w:eastAsia="en-GB"/>
        </w:rPr>
        <w:t>Areas</w:t>
      </w:r>
    </w:p>
    <w:p w14:paraId="51DEACEE" w14:textId="0CB2434E" w:rsidR="006F5F74" w:rsidRPr="00062DC5" w:rsidRDefault="00056CFA" w:rsidP="006F5F74">
      <w:pPr>
        <w:rPr>
          <w:rFonts w:cstheme="minorHAnsi"/>
        </w:rPr>
      </w:pPr>
      <w:r w:rsidRPr="00062DC5">
        <w:rPr>
          <w:rFonts w:eastAsia="Times New Roman" w:cstheme="minorHAnsi"/>
          <w:lang w:val="en" w:eastAsia="en-GB"/>
        </w:rPr>
        <w:t>Due to the devolution of adult education funding</w:t>
      </w:r>
      <w:r w:rsidR="006F5F74" w:rsidRPr="00062DC5">
        <w:rPr>
          <w:rFonts w:eastAsia="Times New Roman" w:cstheme="minorHAnsi"/>
          <w:lang w:val="en" w:eastAsia="en-GB"/>
        </w:rPr>
        <w:t>,</w:t>
      </w:r>
      <w:r w:rsidRPr="00062DC5">
        <w:rPr>
          <w:rFonts w:eastAsia="Times New Roman" w:cstheme="minorHAnsi"/>
          <w:lang w:val="en" w:eastAsia="en-GB"/>
        </w:rPr>
        <w:t xml:space="preserve"> we are unable to fund learners from postcodes that are within the mayoral combined authorities (MCA’s) and the Greater London Authority (GLA) listed below.  </w:t>
      </w:r>
      <w:r w:rsidR="006F5F74" w:rsidRPr="00062DC5">
        <w:rPr>
          <w:rFonts w:eastAsia="Times New Roman" w:cstheme="minorHAnsi"/>
          <w:lang w:val="en" w:eastAsia="en-GB"/>
        </w:rPr>
        <w:t>Use this URL t</w:t>
      </w:r>
      <w:r w:rsidRPr="00062DC5">
        <w:rPr>
          <w:rFonts w:eastAsia="Times New Roman" w:cstheme="minorHAnsi"/>
          <w:lang w:val="en" w:eastAsia="en-GB"/>
        </w:rPr>
        <w:t>o check your postcode</w:t>
      </w:r>
      <w:r w:rsidR="006F5F74" w:rsidRPr="00062DC5">
        <w:rPr>
          <w:rFonts w:eastAsia="Times New Roman" w:cstheme="minorHAnsi"/>
          <w:lang w:val="en" w:eastAsia="en-GB"/>
        </w:rPr>
        <w:t>:</w:t>
      </w:r>
    </w:p>
    <w:p w14:paraId="04D2BBEE" w14:textId="77777777" w:rsidR="006F5F74" w:rsidRPr="00062DC5" w:rsidRDefault="00062DC5" w:rsidP="006F5F74">
      <w:pPr>
        <w:spacing w:before="100" w:beforeAutospacing="1" w:after="100" w:afterAutospacing="1"/>
        <w:rPr>
          <w:rFonts w:cstheme="minorHAnsi"/>
        </w:rPr>
      </w:pPr>
      <w:hyperlink r:id="rId6" w:history="1">
        <w:r w:rsidR="006F5F74" w:rsidRPr="00062DC5">
          <w:rPr>
            <w:rStyle w:val="Hyperlink"/>
            <w:rFonts w:cstheme="minorHAnsi"/>
          </w:rPr>
          <w:t>https://assets.publishing.service.gov.uk/government/uploads/system/uploads/attachment_data/file/966382/2020_to_2021_spreadsheet_friendly_devolved_AEB_postcode_dataset.csv/preview</w:t>
        </w:r>
      </w:hyperlink>
    </w:p>
    <w:p w14:paraId="65ED6564" w14:textId="77777777" w:rsidR="00E955CC" w:rsidRPr="00062DC5" w:rsidRDefault="006F5F74" w:rsidP="00E955CC">
      <w:pPr>
        <w:spacing w:before="100" w:beforeAutospacing="1" w:after="100" w:afterAutospacing="1"/>
        <w:rPr>
          <w:rFonts w:cstheme="minorHAnsi"/>
        </w:rPr>
      </w:pPr>
      <w:r w:rsidRPr="00062DC5">
        <w:rPr>
          <w:rFonts w:cstheme="minorHAnsi"/>
          <w:lang w:val="en" w:eastAsia="en-GB"/>
        </w:rPr>
        <w:t xml:space="preserve">If you are having difficulty working out if you live in a devolved funding area, please contact Admissions on </w:t>
      </w:r>
      <w:hyperlink r:id="rId7" w:history="1">
        <w:r w:rsidR="00E955CC" w:rsidRPr="00062DC5">
          <w:rPr>
            <w:rStyle w:val="Hyperlink"/>
            <w:rFonts w:cstheme="minorHAnsi"/>
          </w:rPr>
          <w:t>courses@sparsholt.ac.uk</w:t>
        </w:r>
      </w:hyperlink>
      <w:r w:rsidR="00E955CC" w:rsidRPr="00062DC5">
        <w:rPr>
          <w:rFonts w:cstheme="minorHAnsi"/>
        </w:rPr>
        <w:t xml:space="preserve"> or </w:t>
      </w:r>
      <w:hyperlink r:id="rId8" w:history="1">
        <w:r w:rsidR="00E955CC" w:rsidRPr="00062DC5">
          <w:rPr>
            <w:rStyle w:val="Hyperlink"/>
            <w:rFonts w:cstheme="minorHAnsi"/>
          </w:rPr>
          <w:t>inforegandover@sparsholt.ac.uk</w:t>
        </w:r>
      </w:hyperlink>
    </w:p>
    <w:p w14:paraId="73FD6F58" w14:textId="5AC580DC" w:rsidR="00573C5A" w:rsidRPr="00062DC5" w:rsidRDefault="00A42899" w:rsidP="00E955CC">
      <w:pPr>
        <w:spacing w:before="100" w:beforeAutospacing="1" w:after="100" w:afterAutospacing="1"/>
        <w:rPr>
          <w:rFonts w:cstheme="minorHAnsi"/>
        </w:rPr>
      </w:pPr>
      <w:r w:rsidRPr="00062DC5">
        <w:rPr>
          <w:rFonts w:eastAsia="Times New Roman" w:cstheme="minorHAnsi"/>
          <w:bCs/>
          <w:lang w:val="en" w:eastAsia="en-GB"/>
        </w:rPr>
        <w:t xml:space="preserve">If your postcode is in </w:t>
      </w:r>
      <w:r w:rsidR="008C5700" w:rsidRPr="00062DC5">
        <w:rPr>
          <w:rFonts w:eastAsia="Times New Roman" w:cstheme="minorHAnsi"/>
          <w:bCs/>
          <w:lang w:val="en" w:eastAsia="en-GB"/>
        </w:rPr>
        <w:t xml:space="preserve">the list so in </w:t>
      </w:r>
      <w:r w:rsidRPr="00062DC5">
        <w:rPr>
          <w:rFonts w:eastAsia="Times New Roman" w:cstheme="minorHAnsi"/>
          <w:bCs/>
          <w:lang w:val="en" w:eastAsia="en-GB"/>
        </w:rPr>
        <w:t>one of the devolved areas</w:t>
      </w:r>
      <w:r w:rsidR="005E2A8A" w:rsidRPr="00062DC5">
        <w:rPr>
          <w:rFonts w:eastAsia="Times New Roman" w:cstheme="minorHAnsi"/>
          <w:bCs/>
          <w:lang w:val="en" w:eastAsia="en-GB"/>
        </w:rPr>
        <w:t xml:space="preserve">, </w:t>
      </w:r>
      <w:r w:rsidRPr="00062DC5">
        <w:rPr>
          <w:rFonts w:eastAsia="Times New Roman" w:cstheme="minorHAnsi"/>
          <w:bCs/>
          <w:lang w:val="en" w:eastAsia="en-GB"/>
        </w:rPr>
        <w:t xml:space="preserve">and you wish to </w:t>
      </w:r>
      <w:proofErr w:type="spellStart"/>
      <w:r w:rsidRPr="00062DC5">
        <w:rPr>
          <w:rFonts w:eastAsia="Times New Roman" w:cstheme="minorHAnsi"/>
          <w:bCs/>
          <w:lang w:val="en" w:eastAsia="en-GB"/>
        </w:rPr>
        <w:t>enrol</w:t>
      </w:r>
      <w:proofErr w:type="spellEnd"/>
      <w:r w:rsidRPr="00062DC5">
        <w:rPr>
          <w:rFonts w:eastAsia="Times New Roman" w:cstheme="minorHAnsi"/>
          <w:bCs/>
          <w:lang w:val="en" w:eastAsia="en-GB"/>
        </w:rPr>
        <w:t xml:space="preserve"> on </w:t>
      </w:r>
      <w:r w:rsidR="00C26704" w:rsidRPr="00062DC5">
        <w:rPr>
          <w:rFonts w:eastAsia="Times New Roman" w:cstheme="minorHAnsi"/>
          <w:bCs/>
          <w:lang w:val="en" w:eastAsia="en-GB"/>
        </w:rPr>
        <w:t>a</w:t>
      </w:r>
      <w:r w:rsidRPr="00062DC5">
        <w:rPr>
          <w:rFonts w:eastAsia="Times New Roman" w:cstheme="minorHAnsi"/>
          <w:bCs/>
          <w:lang w:val="en" w:eastAsia="en-GB"/>
        </w:rPr>
        <w:t xml:space="preserve"> course</w:t>
      </w:r>
      <w:r w:rsidR="005E2A8A" w:rsidRPr="00062DC5">
        <w:rPr>
          <w:rFonts w:eastAsia="Times New Roman" w:cstheme="minorHAnsi"/>
          <w:bCs/>
          <w:lang w:val="en" w:eastAsia="en-GB"/>
        </w:rPr>
        <w:t xml:space="preserve"> </w:t>
      </w:r>
      <w:r w:rsidR="00C26704" w:rsidRPr="00062DC5">
        <w:rPr>
          <w:rFonts w:eastAsia="Times New Roman" w:cstheme="minorHAnsi"/>
          <w:bCs/>
          <w:lang w:val="en" w:eastAsia="en-GB"/>
        </w:rPr>
        <w:t xml:space="preserve">that has a fee code of </w:t>
      </w:r>
      <w:r w:rsidR="00147B1D" w:rsidRPr="00062DC5">
        <w:rPr>
          <w:rFonts w:eastAsia="Times New Roman" w:cstheme="minorHAnsi"/>
          <w:bCs/>
          <w:lang w:val="en" w:eastAsia="en-GB"/>
        </w:rPr>
        <w:t>A, B, C</w:t>
      </w:r>
      <w:r w:rsidRPr="00062DC5">
        <w:rPr>
          <w:rFonts w:eastAsia="Times New Roman" w:cstheme="minorHAnsi"/>
          <w:bCs/>
          <w:lang w:val="en" w:eastAsia="en-GB"/>
        </w:rPr>
        <w:t>,</w:t>
      </w:r>
      <w:r w:rsidR="00147B1D" w:rsidRPr="00062DC5">
        <w:rPr>
          <w:rFonts w:eastAsia="Times New Roman" w:cstheme="minorHAnsi"/>
          <w:bCs/>
          <w:lang w:val="en" w:eastAsia="en-GB"/>
        </w:rPr>
        <w:t xml:space="preserve"> F, I, </w:t>
      </w:r>
      <w:r w:rsidR="001449F5" w:rsidRPr="00062DC5">
        <w:rPr>
          <w:rFonts w:eastAsia="Times New Roman" w:cstheme="minorHAnsi"/>
          <w:bCs/>
          <w:lang w:val="en" w:eastAsia="en-GB"/>
        </w:rPr>
        <w:t xml:space="preserve">J, </w:t>
      </w:r>
      <w:r w:rsidR="00147B1D" w:rsidRPr="00062DC5">
        <w:rPr>
          <w:rFonts w:eastAsia="Times New Roman" w:cstheme="minorHAnsi"/>
          <w:bCs/>
          <w:lang w:val="en" w:eastAsia="en-GB"/>
        </w:rPr>
        <w:t>K</w:t>
      </w:r>
      <w:r w:rsidR="001449F5" w:rsidRPr="00062DC5">
        <w:rPr>
          <w:rFonts w:eastAsia="Times New Roman" w:cstheme="minorHAnsi"/>
          <w:bCs/>
          <w:lang w:val="en" w:eastAsia="en-GB"/>
        </w:rPr>
        <w:t>, L, M, N</w:t>
      </w:r>
      <w:r w:rsidR="00147B1D" w:rsidRPr="00062DC5">
        <w:rPr>
          <w:rFonts w:eastAsia="Times New Roman" w:cstheme="minorHAnsi"/>
          <w:bCs/>
          <w:lang w:val="en" w:eastAsia="en-GB"/>
        </w:rPr>
        <w:t xml:space="preserve"> </w:t>
      </w:r>
      <w:r w:rsidRPr="00062DC5">
        <w:rPr>
          <w:rFonts w:eastAsia="Times New Roman" w:cstheme="minorHAnsi"/>
          <w:bCs/>
          <w:lang w:val="en" w:eastAsia="en-GB"/>
        </w:rPr>
        <w:t>please contact us for information on tuition fees</w:t>
      </w:r>
      <w:r w:rsidR="00573C5A" w:rsidRPr="00062DC5">
        <w:rPr>
          <w:rFonts w:eastAsia="Times New Roman" w:cstheme="minorHAnsi"/>
          <w:bCs/>
          <w:lang w:val="en" w:eastAsia="en-GB"/>
        </w:rPr>
        <w:t xml:space="preserve"> either</w:t>
      </w:r>
      <w:r w:rsidR="001449F5" w:rsidRPr="00062DC5">
        <w:rPr>
          <w:rFonts w:eastAsia="Times New Roman" w:cstheme="minorHAnsi"/>
          <w:bCs/>
          <w:lang w:val="en" w:eastAsia="en-GB"/>
        </w:rPr>
        <w:t xml:space="preserve"> </w:t>
      </w:r>
      <w:hyperlink r:id="rId9" w:history="1">
        <w:r w:rsidR="00573C5A" w:rsidRPr="00062DC5">
          <w:rPr>
            <w:rStyle w:val="Hyperlink"/>
            <w:rFonts w:cstheme="minorHAnsi"/>
          </w:rPr>
          <w:t>courses@sparsholt.ac.uk</w:t>
        </w:r>
      </w:hyperlink>
      <w:r w:rsidR="00573C5A" w:rsidRPr="00062DC5">
        <w:rPr>
          <w:rFonts w:cstheme="minorHAnsi"/>
        </w:rPr>
        <w:t xml:space="preserve"> or </w:t>
      </w:r>
      <w:hyperlink r:id="rId10" w:history="1">
        <w:r w:rsidR="00573C5A" w:rsidRPr="00062DC5">
          <w:rPr>
            <w:rStyle w:val="Hyperlink"/>
            <w:rFonts w:cstheme="minorHAnsi"/>
          </w:rPr>
          <w:t>inforegandover@sparsholt.ac.uk</w:t>
        </w:r>
      </w:hyperlink>
      <w:r w:rsidR="00573C5A" w:rsidRPr="00062DC5">
        <w:rPr>
          <w:rFonts w:cstheme="minorHAnsi"/>
        </w:rPr>
        <w:t xml:space="preserve"> </w:t>
      </w:r>
    </w:p>
    <w:p w14:paraId="22594254" w14:textId="55525B98" w:rsidR="00062DC5" w:rsidRPr="00062DC5" w:rsidRDefault="00A42899" w:rsidP="00062DC5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062DC5">
        <w:rPr>
          <w:rFonts w:eastAsia="Times New Roman" w:cstheme="minorHAnsi"/>
          <w:bCs/>
          <w:lang w:val="en" w:eastAsia="en-GB"/>
        </w:rPr>
        <w:t xml:space="preserve">  </w:t>
      </w:r>
      <w:r w:rsidR="00056CFA" w:rsidRPr="00062DC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5822B" wp14:editId="605F6ADC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720080" cy="40817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CEEC" w14:textId="77777777" w:rsidR="00056CFA" w:rsidRDefault="00056CFA" w:rsidP="00056CF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702BB2" wp14:editId="71492D98">
                                  <wp:extent cx="5257800" cy="3505201"/>
                                  <wp:effectExtent l="0" t="0" r="0" b="0"/>
                                  <wp:docPr id="2" name="Picture 2" descr="A map showing the combined authorities and Greater London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map showing the combined authorities and Greater London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8211" cy="35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"/>
                              </w:rPr>
                              <w:t>A map of the mayoral combined authorities (Greater London is not a ‘combined authority’, but is included here for completeness).</w:t>
                            </w:r>
                          </w:p>
                          <w:p w14:paraId="05B8161E" w14:textId="77777777" w:rsidR="00056CFA" w:rsidRDefault="0005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8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pt;width:450.4pt;height:32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">
                <v:textbox>
                  <w:txbxContent>
                    <w:p w14:paraId="4DBDCEEC" w14:textId="77777777" w:rsidR="00056CFA" w:rsidRDefault="00056CFA" w:rsidP="00056CFA">
                      <w:pPr>
                        <w:rPr>
                          <w:lang w:val="en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702BB2" wp14:editId="71492D98">
                            <wp:extent cx="5257800" cy="3505201"/>
                            <wp:effectExtent l="0" t="0" r="0" b="0"/>
                            <wp:docPr id="2" name="Picture 2" descr="A map showing the combined authorities and Greater London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map showing the combined authorities and Greater London.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8211" cy="352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"/>
                        </w:rPr>
                        <w:t>A map of the mayoral combined authorities (Greater London is not a ‘combined authority’, but is included here for completeness).</w:t>
                      </w:r>
                    </w:p>
                    <w:p w14:paraId="05B8161E" w14:textId="77777777" w:rsidR="00056CFA" w:rsidRDefault="00056CFA"/>
                  </w:txbxContent>
                </v:textbox>
                <w10:wrap type="square" anchorx="margin"/>
              </v:shape>
            </w:pict>
          </mc:Fallback>
        </mc:AlternateContent>
      </w:r>
      <w:r w:rsidR="00056CFA" w:rsidRPr="00062DC5">
        <w:rPr>
          <w:rFonts w:cstheme="minorHAnsi"/>
          <w:lang w:val="en"/>
        </w:rPr>
        <w:t xml:space="preserve">These are the Mayoral Combined Authorities and Greater London Authority. </w:t>
      </w:r>
    </w:p>
    <w:p w14:paraId="320FA319" w14:textId="38C6167B" w:rsidR="00056CFA" w:rsidRPr="00062DC5" w:rsidRDefault="00056CFA" w:rsidP="00056CFA">
      <w:pPr>
        <w:pStyle w:val="Heading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>The following devolved areas are responsible for administering their own funding.</w:t>
      </w:r>
    </w:p>
    <w:p w14:paraId="1CF0CB5A" w14:textId="77777777" w:rsidR="00056CFA" w:rsidRPr="00062DC5" w:rsidRDefault="00056CFA" w:rsidP="00056CFA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Cambridge and Peterborough</w:t>
      </w:r>
    </w:p>
    <w:p w14:paraId="4EB5CDD7" w14:textId="25FDBB8C" w:rsidR="00056CFA" w:rsidRPr="00062DC5" w:rsidRDefault="00056CFA" w:rsidP="00056CFA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Greater London</w:t>
      </w:r>
    </w:p>
    <w:p w14:paraId="279B026D" w14:textId="77777777" w:rsidR="001546E3" w:rsidRPr="00062DC5" w:rsidRDefault="001546E3" w:rsidP="001546E3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Greater Manchester</w:t>
      </w:r>
    </w:p>
    <w:p w14:paraId="2FA68ED8" w14:textId="2F1AA15C" w:rsidR="00056CFA" w:rsidRPr="00062DC5" w:rsidRDefault="00056CFA" w:rsidP="00056CFA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Liverpool City Region</w:t>
      </w:r>
    </w:p>
    <w:p w14:paraId="2BEC59D1" w14:textId="055F23F6" w:rsidR="001546E3" w:rsidRPr="00062DC5" w:rsidRDefault="001546E3" w:rsidP="001546E3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North of Tyne Combined Authority</w:t>
      </w:r>
    </w:p>
    <w:p w14:paraId="257A3CA2" w14:textId="77777777" w:rsidR="001546E3" w:rsidRPr="00062DC5" w:rsidRDefault="001546E3" w:rsidP="001546E3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Tees Valley</w:t>
      </w:r>
    </w:p>
    <w:p w14:paraId="5D74D6F6" w14:textId="77777777" w:rsidR="001546E3" w:rsidRPr="00062DC5" w:rsidRDefault="001546E3" w:rsidP="001546E3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lastRenderedPageBreak/>
        <w:t>West of England</w:t>
      </w:r>
    </w:p>
    <w:p w14:paraId="6667797A" w14:textId="77777777" w:rsidR="001546E3" w:rsidRPr="00062DC5" w:rsidRDefault="001546E3" w:rsidP="001546E3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West Midlands</w:t>
      </w:r>
    </w:p>
    <w:p w14:paraId="2BEC41E9" w14:textId="46C112EF" w:rsidR="00056CFA" w:rsidRPr="00062DC5" w:rsidRDefault="00056CFA" w:rsidP="00056CFA">
      <w:pPr>
        <w:pStyle w:val="Heading3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Sheffield City Region </w:t>
      </w:r>
      <w:r w:rsidR="008C5700"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(subject to legislation being in place) </w:t>
      </w:r>
      <w:r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and West Yorkshire will become responsible for administering </w:t>
      </w:r>
      <w:r w:rsidR="005E2A8A"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their own funding </w:t>
      </w:r>
      <w:r w:rsidRPr="00062DC5">
        <w:rPr>
          <w:rFonts w:asciiTheme="minorHAnsi" w:hAnsiTheme="minorHAnsi" w:cstheme="minorHAnsi"/>
          <w:b/>
          <w:bCs/>
          <w:sz w:val="22"/>
          <w:szCs w:val="22"/>
          <w:lang w:val="en"/>
        </w:rPr>
        <w:t>from 1 August 2021</w:t>
      </w:r>
    </w:p>
    <w:p w14:paraId="21A96143" w14:textId="4E6D9B8D" w:rsidR="00056CFA" w:rsidRPr="00062DC5" w:rsidRDefault="00056CFA" w:rsidP="00056CFA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Sheffield City Region</w:t>
      </w:r>
    </w:p>
    <w:p w14:paraId="7A05041A" w14:textId="27D9DE80" w:rsidR="007C252B" w:rsidRPr="00062DC5" w:rsidRDefault="00056CFA" w:rsidP="005E2A8A">
      <w:pPr>
        <w:spacing w:after="0"/>
        <w:rPr>
          <w:rFonts w:cstheme="minorHAnsi"/>
          <w:lang w:val="en"/>
        </w:rPr>
      </w:pPr>
      <w:r w:rsidRPr="00062DC5">
        <w:rPr>
          <w:rFonts w:cstheme="minorHAnsi"/>
          <w:lang w:val="en"/>
        </w:rPr>
        <w:t>West Yorkshire</w:t>
      </w:r>
    </w:p>
    <w:p w14:paraId="6C399B61" w14:textId="790AD1FE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2F2703EC" w14:textId="06CE37F3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30451622" w14:textId="656EDA4F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68B9FF3C" w14:textId="42818846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7E55B959" w14:textId="39B475F5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5B1DFDC3" w14:textId="289CFFCD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2A0E2CC6" w14:textId="7CD85E79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13AD5127" w14:textId="7B0F0F1E" w:rsidR="006F09A8" w:rsidRPr="00062DC5" w:rsidRDefault="006F09A8" w:rsidP="005E2A8A">
      <w:pPr>
        <w:spacing w:after="0"/>
        <w:rPr>
          <w:rFonts w:cstheme="minorHAnsi"/>
          <w:lang w:val="en"/>
        </w:rPr>
      </w:pPr>
    </w:p>
    <w:p w14:paraId="78C6AEC5" w14:textId="77777777" w:rsidR="006F09A8" w:rsidRPr="00062DC5" w:rsidRDefault="006F09A8" w:rsidP="006F09A8">
      <w:pPr>
        <w:spacing w:after="0"/>
        <w:rPr>
          <w:rFonts w:cstheme="minorHAnsi"/>
          <w:i/>
          <w:iCs/>
          <w:sz w:val="20"/>
          <w:szCs w:val="20"/>
          <w:lang w:val="en"/>
        </w:rPr>
      </w:pPr>
      <w:r w:rsidRPr="00062DC5">
        <w:rPr>
          <w:rFonts w:cstheme="minorHAnsi"/>
          <w:i/>
          <w:iCs/>
          <w:sz w:val="20"/>
          <w:szCs w:val="20"/>
          <w:lang w:val="en"/>
        </w:rPr>
        <w:t>Updated:  4/6/21 (JB)</w:t>
      </w:r>
    </w:p>
    <w:p w14:paraId="0BC3FCD2" w14:textId="77777777" w:rsidR="006F09A8" w:rsidRPr="005E2A8A" w:rsidRDefault="006F09A8" w:rsidP="005E2A8A">
      <w:pPr>
        <w:spacing w:after="0"/>
        <w:rPr>
          <w:lang w:val="en"/>
        </w:rPr>
      </w:pPr>
    </w:p>
    <w:sectPr w:rsidR="006F09A8" w:rsidRPr="005E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478"/>
    <w:multiLevelType w:val="multilevel"/>
    <w:tmpl w:val="01E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1A06"/>
    <w:multiLevelType w:val="multilevel"/>
    <w:tmpl w:val="F99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36045"/>
    <w:multiLevelType w:val="multilevel"/>
    <w:tmpl w:val="F07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FA"/>
    <w:rsid w:val="00056CFA"/>
    <w:rsid w:val="00062DC5"/>
    <w:rsid w:val="001449F5"/>
    <w:rsid w:val="00147B1D"/>
    <w:rsid w:val="001546E3"/>
    <w:rsid w:val="0038419F"/>
    <w:rsid w:val="00573C5A"/>
    <w:rsid w:val="005E2A8A"/>
    <w:rsid w:val="006F09A8"/>
    <w:rsid w:val="006F5F74"/>
    <w:rsid w:val="007011BD"/>
    <w:rsid w:val="007C252B"/>
    <w:rsid w:val="008C5700"/>
    <w:rsid w:val="00A42899"/>
    <w:rsid w:val="00C26704"/>
    <w:rsid w:val="00E955CC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992"/>
  <w15:chartTrackingRefBased/>
  <w15:docId w15:val="{AB033C2E-8A37-41BF-8414-FCE766D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6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C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6C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6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C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C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egandover@sparshol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urses@sparsholt.ac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966382/2020_to_2021_spreadsheet_friendly_devolved_AEB_postcode_dataset.csv/preview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regandover@sparshol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es@sparshol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B6C8-8283-4446-9DE5-C85C3A13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 Hampshire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Butler</dc:creator>
  <cp:keywords/>
  <dc:description/>
  <cp:lastModifiedBy>Jordan Powell</cp:lastModifiedBy>
  <cp:revision>2</cp:revision>
  <dcterms:created xsi:type="dcterms:W3CDTF">2021-06-04T13:00:00Z</dcterms:created>
  <dcterms:modified xsi:type="dcterms:W3CDTF">2021-06-04T13:00:00Z</dcterms:modified>
</cp:coreProperties>
</file>